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  <w:jc w:val="left"/>
      </w:pPr>
      <w:r>
        <w:rPr>
          <w:rFonts w:ascii="Montserrat" w:hAnsi="Montserrat" w:cs="Montserrat" w:eastAsia="Montserrat"/>
          <w:b w:val="0"/>
          <w:i w:val="0"/>
          <w:color w:val="808080"/>
          <w:sz w:val="16"/>
        </w:rPr>
        <w:t>[место под логотип]</w:t>
      </w:r>
    </w:p>
    <w:p>
      <w:pPr>
        <w:spacing w:before="1200" w:after="80"/>
        <w:jc w:val="center"/>
      </w:pPr>
      <w:r>
        <w:rPr>
          <w:rFonts w:ascii="Montserrat" w:hAnsi="Montserrat" w:cs="Montserrat" w:eastAsia="Montserrat"/>
          <w:b/>
          <w:i w:val="0"/>
          <w:color w:val="1F2A44"/>
          <w:sz w:val="32"/>
        </w:rPr>
        <w:t>ПРИЛОЖЕНИЕ № 1</w:t>
      </w:r>
    </w:p>
    <w:p>
      <w:pPr>
        <w:spacing w:before="0" w:after="40"/>
        <w:jc w:val="center"/>
      </w:pPr>
      <w:r>
        <w:rPr>
          <w:rFonts w:ascii="Montserrat" w:hAnsi="Montserrat" w:cs="Montserrat" w:eastAsia="Montserrat"/>
          <w:b w:val="0"/>
          <w:i w:val="0"/>
          <w:sz w:val="20"/>
        </w:rPr>
        <w:t xml:space="preserve">к Договору на оказание услуг</w:t>
      </w:r>
    </w:p>
    <w:p>
      <w:pPr>
        <w:spacing w:before="480" w:after="80"/>
        <w:jc w:val="center"/>
      </w:pPr>
      <w:r>
        <w:rPr>
          <w:rFonts w:ascii="Montserrat" w:hAnsi="Montserrat" w:cs="Montserrat" w:eastAsia="Montserrat"/>
          <w:b/>
          <w:i w:val="0"/>
          <w:color w:val="1F2A44"/>
          <w:sz w:val="40"/>
        </w:rPr>
        <w:t>ОБРАЗЦЫ МАТЕРИАЛОВ</w:t>
      </w:r>
    </w:p>
    <w:p>
      <w:pPr>
        <w:spacing w:before="0" w:after="800"/>
        <w:jc w:val="center"/>
      </w:pPr>
      <w:r>
        <w:rPr>
          <w:rFonts w:ascii="Montserrat" w:hAnsi="Montserrat" w:cs="Montserrat" w:eastAsia="Montserrat"/>
          <w:b w:val="0"/>
          <w:i w:val="0"/>
          <w:sz w:val="22"/>
        </w:rPr>
        <w:t>по эскизному архитектурному и интерьерному проектированию, дизайну корпусной мебели и сопровождению проекта</w:t>
      </w:r>
    </w:p>
    <w:p>
      <w:pPr>
        <w:spacing w:before="0" w:after="0"/>
        <w:jc w:val="center"/>
      </w:pPr>
      <w:r>
        <w:rPr>
          <w:rFonts w:ascii="Montserrat" w:hAnsi="Montserrat" w:cs="Montserrat" w:eastAsia="Montserrat"/>
          <w:b w:val="0"/>
          <w:i w:val="0"/>
          <w:sz w:val="20"/>
        </w:rPr>
        <w:t>Редакция от «____» __________ 20___ г.</w:t>
      </w:r>
    </w:p>
    <w:p>
      <w:r>
        <w:br w:type="page"/>
      </w:r>
    </w:p>
    <w:p>
      <w:pPr>
        <w:keepNext/>
        <w:spacing w:before="200" w:after="80"/>
        <w:jc w:val="left"/>
      </w:pPr>
      <w:r>
        <w:rPr>
          <w:rFonts w:ascii="Montserrat" w:hAnsi="Montserrat" w:cs="Montserrat" w:eastAsia="Montserrat"/>
          <w:b/>
          <w:i w:val="0"/>
          <w:color w:val="1F2A44"/>
          <w:sz w:val="22"/>
        </w:rPr>
        <w:t>1. Для чего это приложение</w:t>
      </w:r>
    </w:p>
    <w:p>
      <w:pPr>
        <w:spacing w:before="0" w:after="80"/>
        <w:jc w:val="both"/>
      </w:pPr>
      <w:r>
        <w:rPr>
          <w:rFonts w:ascii="Montserrat" w:hAnsi="Montserrat" w:cs="Montserrat" w:eastAsia="Montserrat"/>
          <w:b w:val="0"/>
          <w:i w:val="0"/>
          <w:sz w:val="20"/>
        </w:rPr>
        <w:t>1.1. Приложение № 1 — неотъемлемая часть Договора (п. 3.1 Договора). Оно показывает, что именно получит Заказчик: планы, развёртки, визуализации, шоппинг-листы, схемы — и с какой степенью проработки.</w:t>
      </w:r>
    </w:p>
    <w:p>
      <w:pPr>
        <w:spacing w:before="0" w:after="80"/>
        <w:jc w:val="both"/>
      </w:pPr>
      <w:r>
        <w:rPr>
          <w:rFonts w:ascii="Montserrat" w:hAnsi="Montserrat" w:cs="Montserrat" w:eastAsia="Montserrat"/>
          <w:b w:val="0"/>
          <w:i w:val="0"/>
          <w:sz w:val="20"/>
        </w:rPr>
        <w:t>1.2. Образцы закрепляют стандарт Исполнителя по составу, степени проработки и оформлению материалов (раздел 4 Договора). По этому стандарту выполняются и принимаются работы.</w:t>
      </w:r>
    </w:p>
    <w:p>
      <w:pPr>
        <w:spacing w:before="0" w:after="80"/>
        <w:jc w:val="both"/>
      </w:pPr>
      <w:r>
        <w:rPr>
          <w:rFonts w:ascii="Montserrat" w:hAnsi="Montserrat" w:cs="Montserrat" w:eastAsia="Montserrat"/>
          <w:b w:val="0"/>
          <w:i w:val="0"/>
          <w:sz w:val="20"/>
        </w:rPr>
        <w:t>1.3. Что входит в конкретный этап — указано в Приложении на этап. Образец показывает возможный состав, но сам по себе не расширяет объём услуг.</w:t>
      </w:r>
    </w:p>
    <w:p>
      <w:pPr>
        <w:keepNext/>
        <w:spacing w:before="200" w:after="80"/>
        <w:jc w:val="left"/>
      </w:pPr>
      <w:r>
        <w:rPr>
          <w:rFonts w:ascii="Montserrat" w:hAnsi="Montserrat" w:cs="Montserrat" w:eastAsia="Montserrat"/>
          <w:b/>
          <w:i w:val="0"/>
          <w:color w:val="1F2A44"/>
          <w:sz w:val="22"/>
        </w:rPr>
        <w:t>2. Как читать образцы</w:t>
      </w:r>
    </w:p>
    <w:p>
      <w:pPr>
        <w:spacing w:before="0" w:after="80"/>
        <w:jc w:val="both"/>
      </w:pPr>
      <w:r>
        <w:rPr>
          <w:rFonts w:ascii="Montserrat" w:hAnsi="Montserrat" w:cs="Montserrat" w:eastAsia="Montserrat"/>
          <w:b w:val="0"/>
          <w:i w:val="0"/>
          <w:sz w:val="20"/>
        </w:rPr>
        <w:t>2.1. Образцы выполнены для других объектов. Планировка, стиль, количество листов и содержание изображений на Объекте Заказчика будут другими; общий уровень проработки и оформления — таким же.</w:t>
      </w:r>
    </w:p>
    <w:p>
      <w:pPr>
        <w:spacing w:before="0" w:after="80"/>
        <w:jc w:val="both"/>
      </w:pPr>
      <w:r>
        <w:rPr>
          <w:rFonts w:ascii="Montserrat" w:hAnsi="Montserrat" w:cs="Montserrat" w:eastAsia="Montserrat"/>
          <w:b w:val="0"/>
          <w:i w:val="0"/>
          <w:sz w:val="20"/>
        </w:rPr>
        <w:t>2.2. Образцы эскизной стадии не являются документацией Стадии «П» и Стадии «Р» (пп. 2.1.17–2.1.18 Регламента) и не предназначены для производства работ без участия профильных специалистов.</w:t>
      </w:r>
    </w:p>
    <w:p>
      <w:pPr>
        <w:spacing w:before="0" w:after="80"/>
        <w:jc w:val="both"/>
      </w:pPr>
      <w:r>
        <w:rPr>
          <w:rFonts w:ascii="Montserrat" w:hAnsi="Montserrat" w:cs="Montserrat" w:eastAsia="Montserrat"/>
          <w:b w:val="0"/>
          <w:i w:val="0"/>
          <w:sz w:val="20"/>
        </w:rPr>
        <w:t xml:space="preserve">2.3. AI-визуализации передают общий образ, стилистику и цветовые решения; они не являются фотореалистичным и размерно точным изображением будущего интерьера </w:t>
      </w:r>
      <w:r>
        <w:rPr>
          <w:rFonts w:ascii="Montserrat" w:hAnsi="Montserrat" w:cs="Montserrat" w:eastAsia="Montserrat"/>
          <w:b w:val="0"/>
          <w:i w:val="0"/>
          <w:sz w:val="20"/>
        </w:rPr>
        <w:t xml:space="preserve">(пп. 5.6.6, 5.8.1 Регламента)</w:t>
      </w:r>
      <w:r>
        <w:rPr>
          <w:rFonts w:ascii="Montserrat" w:hAnsi="Montserrat" w:cs="Montserrat" w:eastAsia="Montserrat"/>
          <w:b w:val="0"/>
          <w:i w:val="0"/>
          <w:sz w:val="20"/>
        </w:rPr>
        <w:t xml:space="preserve">.</w:t>
      </w:r>
    </w:p>
    <w:p>
      <w:pPr>
        <w:spacing w:before="0" w:after="80"/>
        <w:jc w:val="both"/>
      </w:pPr>
      <w:r>
        <w:rPr>
          <w:rFonts w:ascii="Montserrat" w:hAnsi="Montserrat" w:cs="Montserrat" w:eastAsia="Montserrat"/>
          <w:b w:val="0"/>
          <w:i w:val="0"/>
          <w:sz w:val="20"/>
        </w:rPr>
        <w:t>2.4. Все материалы в образцах — результаты интеллектуальной деятельности Исполнителя и автора системы документов. Их копирование и использование вне Договора не допускается (п. 20.6 Договора).</w:t>
      </w:r>
    </w:p>
    <w:p>
      <w:pPr>
        <w:spacing w:before="0" w:after="80"/>
        <w:jc w:val="both"/>
      </w:pPr>
      <w:r>
        <w:rPr>
          <w:rFonts w:ascii="Montserrat" w:hAnsi="Montserrat" w:cs="Montserrat" w:eastAsia="Montserrat"/>
          <w:b w:val="0"/>
          <w:i w:val="0"/>
          <w:sz w:val="20"/>
        </w:rPr>
        <w:t xml:space="preserve">2.5. К каждому этапу применяется редакция Приложения № 1, действовавшая на дату оформления Приложения на этот этап (п. 3.2 Договора).</w:t>
      </w:r>
    </w:p>
    <w:p>
      <w:pPr>
        <w:keepNext/>
        <w:spacing w:before="200" w:after="80"/>
        <w:jc w:val="left"/>
      </w:pPr>
      <w:r>
        <w:rPr>
          <w:rFonts w:ascii="Montserrat" w:hAnsi="Montserrat" w:cs="Montserrat" w:eastAsia="Montserrat"/>
          <w:b/>
          <w:i w:val="0"/>
          <w:color w:val="1F2A44"/>
          <w:sz w:val="22"/>
        </w:rPr>
        <w:t>3. Содержание образцов</w:t>
      </w:r>
    </w:p>
    <w:tbl>
      <w:tblPr>
        <w:tblW w:w="9638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firstColumn="1" w:firstRow="1" w:lastColumn="0" w:lastRow="0" w:noHBand="0" w:noVBand="1" w:val="04A0"/>
      </w:tblPr>
      <w:tblGrid>
        <w:gridCol w:w="420"/>
        <w:gridCol w:w="2700"/>
        <w:gridCol w:w="5418"/>
        <w:gridCol w:w="1100"/>
      </w:tblGrid>
      <w:tr>
        <w:trPr>
          <w:cantSplit/>
          <w:tblHeader/>
        </w:trPr>
        <w:tc>
          <w:tcPr>
            <w:tcW w:type="dxa" w:w="420"/>
            <w:shd w:val="clear" w:color="auto" w:fill="1F2A4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8"/>
              </w:rPr>
              <w:t>№</w:t>
            </w:r>
          </w:p>
        </w:tc>
        <w:tc>
          <w:tcPr>
            <w:tcW w:type="dxa" w:w="2700"/>
            <w:shd w:val="clear" w:color="auto" w:fill="1F2A4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8"/>
              </w:rPr>
              <w:t>Раздел</w:t>
            </w:r>
          </w:p>
        </w:tc>
        <w:tc>
          <w:tcPr>
            <w:tcW w:type="dxa" w:w="5418"/>
            <w:shd w:val="clear" w:color="auto" w:fill="1F2A4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8"/>
              </w:rPr>
              <w:t>Что показано</w:t>
            </w:r>
          </w:p>
        </w:tc>
        <w:tc>
          <w:tcPr>
            <w:tcW w:type="dxa" w:w="1100"/>
            <w:shd w:val="clear" w:color="auto" w:fill="1F2A4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8"/>
              </w:rPr>
              <w:t>Стр.</w:t>
            </w:r>
          </w:p>
        </w:tc>
      </w:tr>
      <w:tr>
        <w:trPr>
          <w:cantSplit/>
        </w:trPr>
        <w:tc>
          <w:tcPr>
            <w:tcW w:type="dxa" w:w="42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1</w:t>
            </w:r>
          </w:p>
        </w:tc>
        <w:tc>
          <w:tcPr>
            <w:tcW w:type="dxa" w:w="27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Архитектурный проект</w:t>
            </w:r>
          </w:p>
        </w:tc>
        <w:tc>
          <w:tcPr>
            <w:tcW w:type="dxa" w:w="541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 xml:space="preserve">пятно застройки, AI-визуализации фасадов, </w:t>
            </w: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 xml:space="preserve">шоппинг-лист фасадных решений, план кровли, эскизные чертежи фасадов, разрезы</w:t>
            </w:r>
          </w:p>
        </w:tc>
        <w:tc>
          <w:tcPr>
            <w:tcW w:type="dxa" w:w="11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42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2</w:t>
            </w:r>
          </w:p>
        </w:tc>
        <w:tc>
          <w:tcPr>
            <w:tcW w:type="dxa" w:w="27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Планировочное решение</w:t>
            </w:r>
          </w:p>
        </w:tc>
        <w:tc>
          <w:tcPr>
            <w:tcW w:type="dxa" w:w="541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планы расстановки мебели и оборудования, в том числе с размерами; планы демонтажа и монтажа перегородок</w:t>
            </w:r>
          </w:p>
        </w:tc>
        <w:tc>
          <w:tcPr>
            <w:tcW w:type="dxa" w:w="11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42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3</w:t>
            </w:r>
          </w:p>
        </w:tc>
        <w:tc>
          <w:tcPr>
            <w:tcW w:type="dxa" w:w="27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Визуальная часть</w:t>
            </w:r>
          </w:p>
        </w:tc>
        <w:tc>
          <w:tcPr>
            <w:tcW w:type="dxa" w:w="541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AI-визуализации помещений, шоппинг-листы</w:t>
            </w:r>
          </w:p>
        </w:tc>
        <w:tc>
          <w:tcPr>
            <w:tcW w:type="dxa" w:w="11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42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4</w:t>
            </w:r>
          </w:p>
        </w:tc>
        <w:tc>
          <w:tcPr>
            <w:tcW w:type="dxa" w:w="27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Дизайн корпусной мебели</w:t>
            </w:r>
          </w:p>
        </w:tc>
        <w:tc>
          <w:tcPr>
            <w:tcW w:type="dxa" w:w="541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эскизные чертежи изделий, внутреннее наполнение, открывание, подсветка и выводы, подбор материалов</w:t>
            </w:r>
          </w:p>
        </w:tc>
        <w:tc>
          <w:tcPr>
            <w:tcW w:type="dxa" w:w="11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42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5</w:t>
            </w:r>
          </w:p>
        </w:tc>
        <w:tc>
          <w:tcPr>
            <w:tcW w:type="dxa" w:w="27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Светотехнические решения</w:t>
            </w:r>
          </w:p>
        </w:tc>
        <w:tc>
          <w:tcPr>
            <w:tcW w:type="dxa" w:w="541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план потолков, схемы светильников и выключателей, розеток и выводов, план полов, тёплые полы</w:t>
            </w:r>
          </w:p>
        </w:tc>
        <w:tc>
          <w:tcPr>
            <w:tcW w:type="dxa" w:w="11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42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6</w:t>
            </w:r>
          </w:p>
        </w:tc>
        <w:tc>
          <w:tcPr>
            <w:tcW w:type="dxa" w:w="27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Стадия сопровождения проекта</w:t>
            </w:r>
          </w:p>
        </w:tc>
        <w:tc>
          <w:tcPr>
            <w:tcW w:type="dxa" w:w="5418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ontserrat" w:hAnsi="Montserrat" w:cs="Montserrat" w:eastAsia="Montserrat"/>
                <w:b w:val="0"/>
                <w:i w:val="0"/>
                <w:sz w:val="18"/>
              </w:rPr>
              <w:t>интерьерные развёртки, схемы раскладки, спецификации, прочие материалы сопровождения</w:t>
            </w:r>
          </w:p>
        </w:tc>
        <w:tc>
          <w:tcPr>
            <w:tcW w:type="dxa" w:w="1100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</w:tbl>
    <w:p>
      <w:pPr>
        <w:spacing w:before="0" w:after="80"/>
        <w:jc w:val="both"/>
      </w:pPr>
    </w:p>
    <w:p>
      <w:pPr>
        <w:spacing w:before="120" w:after="80"/>
        <w:jc w:val="both"/>
      </w:pPr>
      <w:r>
        <w:rPr>
          <w:rFonts w:ascii="Montserrat" w:hAnsi="Montserrat" w:cs="Montserrat" w:eastAsia="Montserrat"/>
          <w:b w:val="0"/>
          <w:i w:val="0"/>
          <w:color w:val="808080"/>
          <w:sz w:val="18"/>
        </w:rPr>
        <w:t>Далее — образцы материалов.</w:t>
      </w:r>
    </w:p>
    <w:sectPr w:rsidR="00FC693F" w:rsidRPr="0006063C" w:rsidSect="00034616">
      <w:footerReference w:type="default" r:id="rId9"/>
      <w:pgSz w:w="11906" w:h="16838"/>
      <w:pgMar w:top="1134" w:right="1134" w:bottom="1000" w:left="1134" w:header="720" w:footer="4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BFBFBF"/>
      </w:pBdr>
      <w:tabs>
        <w:tab w:val="clear" w:pos="4680"/>
        <w:tab w:val="clear" w:pos="9360"/>
        <w:tab w:val="right" w:pos="9618"/>
      </w:tabs>
      <w:spacing w:after="0"/>
    </w:pPr>
    <w:r>
      <w:rPr>
        <w:rFonts w:ascii="Montserrat" w:hAnsi="Montserrat" w:cs="Montserrat" w:eastAsia="Montserrat"/>
        <w:b w:val="0"/>
        <w:i w:val="0"/>
        <w:color w:val="808080"/>
        <w:sz w:val="16"/>
      </w:rPr>
      <w:t>Приложение № 1 — образцы материалов</w:t>
    </w:r>
    <w:r>
      <w:rPr>
        <w:rFonts w:ascii="Montserrat" w:hAnsi="Montserrat" w:cs="Montserrat" w:eastAsia="Montserrat"/>
        <w:b w:val="0"/>
        <w:i w:val="0"/>
        <w:color w:val="808080"/>
        <w:sz w:val="16"/>
      </w:rPr>
      <w:tab/>
    </w:r>
    <w:r>
      <w:rPr>
        <w:rFonts w:ascii="Montserrat" w:hAnsi="Montserrat" w:cs="Montserrat" w:eastAsia="Montserrat"/>
        <w:b w:val="0"/>
        <w:i w:val="0"/>
        <w:color w:val="808080"/>
        <w:sz w:val="16"/>
      </w:rPr>
      <w:fldChar w:fldCharType="begin"/>
    </w:r>
    <w:r>
      <w:rPr>
        <w:rFonts w:ascii="Montserrat" w:hAnsi="Montserrat" w:cs="Montserrat" w:eastAsia="Montserrat"/>
        <w:b w:val="0"/>
        <w:i w:val="0"/>
        <w:color w:val="808080"/>
        <w:sz w:val="16"/>
      </w:rPr>
      <w:instrText xml:space="preserve"> PAGE </w:instrText>
    </w:r>
    <w:r>
      <w:rPr>
        <w:rFonts w:ascii="Montserrat" w:hAnsi="Montserrat" w:cs="Montserrat" w:eastAsia="Montserrat"/>
        <w:b w:val="0"/>
        <w:i w:val="0"/>
        <w:color w:val="808080"/>
        <w:sz w:val="16"/>
      </w:rPr>
      <w:fldChar w:fldCharType="separate"/>
    </w:r>
    <w:r>
      <w:rPr>
        <w:rFonts w:ascii="Montserrat" w:hAnsi="Montserrat" w:cs="Montserrat" w:eastAsia="Montserrat"/>
        <w:b w:val="0"/>
        <w:i w:val="0"/>
        <w:color w:val="808080"/>
        <w:sz w:val="16"/>
      </w:rPr>
      <w:t>1</w:t>
    </w:r>
    <w:r>
      <w:rPr>
        <w:rFonts w:ascii="Montserrat" w:hAnsi="Montserrat" w:cs="Montserrat" w:eastAsia="Montserrat"/>
        <w:b w:val="0"/>
        <w:i w:val="0"/>
        <w:color w:val="808080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Montserrat" w:hAnsi="Montserrat" w:cs="Montserrat" w:eastAsia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